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0F" w:rsidRDefault="0028300F" w:rsidP="0046511C">
      <w:pPr>
        <w:rPr>
          <w:b/>
          <w:u w:val="single"/>
          <w:lang w:val="en-US"/>
        </w:rPr>
      </w:pPr>
    </w:p>
    <w:p w:rsidR="0028300F" w:rsidRDefault="0028300F" w:rsidP="00F930B6">
      <w:pPr>
        <w:jc w:val="center"/>
        <w:rPr>
          <w:b/>
          <w:u w:val="single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595110" cy="1150620"/>
            <wp:effectExtent l="19050" t="0" r="0" b="0"/>
            <wp:docPr id="1" name="Εικόνα 1" descr="3-new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3-new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45" cy="115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76" w:rsidRDefault="006D3876" w:rsidP="0028300F">
      <w:pPr>
        <w:spacing w:after="0"/>
        <w:rPr>
          <w:b/>
          <w:u w:val="single"/>
        </w:rPr>
      </w:pPr>
    </w:p>
    <w:p w:rsidR="00560A24" w:rsidRDefault="00560A24" w:rsidP="0028300F">
      <w:pPr>
        <w:spacing w:after="0"/>
        <w:rPr>
          <w:b/>
          <w:u w:val="single"/>
        </w:rPr>
      </w:pPr>
    </w:p>
    <w:p w:rsidR="0028300F" w:rsidRPr="0028300F" w:rsidRDefault="00B35612" w:rsidP="0028300F">
      <w:pPr>
        <w:spacing w:after="0"/>
        <w:rPr>
          <w:b/>
        </w:rPr>
      </w:pPr>
      <w:r>
        <w:rPr>
          <w:b/>
          <w:u w:val="single"/>
        </w:rPr>
        <w:t>ΠΡΟΣ:</w:t>
      </w:r>
      <w:r w:rsidR="0028300F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    </w:t>
      </w:r>
      <w:r w:rsidR="00D25053">
        <w:rPr>
          <w:b/>
        </w:rPr>
        <w:t xml:space="preserve">                               </w:t>
      </w:r>
      <w:r>
        <w:rPr>
          <w:b/>
        </w:rPr>
        <w:t xml:space="preserve">  </w:t>
      </w:r>
      <w:r w:rsidR="00087794">
        <w:rPr>
          <w:b/>
        </w:rPr>
        <w:t>ΚΑΛΛΙΘΕΑ 14</w:t>
      </w:r>
      <w:r w:rsidR="009F588D">
        <w:rPr>
          <w:b/>
        </w:rPr>
        <w:t>-11</w:t>
      </w:r>
      <w:r w:rsidR="0028300F">
        <w:rPr>
          <w:b/>
        </w:rPr>
        <w:t>-14</w:t>
      </w:r>
    </w:p>
    <w:p w:rsidR="0028300F" w:rsidRPr="00F170E1" w:rsidRDefault="0028300F" w:rsidP="0028300F">
      <w:pPr>
        <w:spacing w:after="0"/>
        <w:rPr>
          <w:b/>
        </w:rPr>
      </w:pPr>
      <w:r w:rsidRPr="00B35612">
        <w:rPr>
          <w:b/>
          <w:u w:val="single"/>
        </w:rPr>
        <w:t xml:space="preserve">ΥΠΟΥΡΓΕΙΟ </w:t>
      </w:r>
      <w:r w:rsidR="009F588D">
        <w:rPr>
          <w:b/>
          <w:u w:val="single"/>
        </w:rPr>
        <w:t>ΥΠΟΔΟΜΩΝ, ΜΕΤΑΦΟΡΩΝ κ’ ΔΙΚΤΥΩΝ</w:t>
      </w:r>
      <w:r>
        <w:rPr>
          <w:b/>
        </w:rPr>
        <w:t xml:space="preserve">                </w:t>
      </w:r>
      <w:r w:rsidR="009F588D">
        <w:rPr>
          <w:b/>
        </w:rPr>
        <w:t xml:space="preserve">                  </w:t>
      </w:r>
      <w:r w:rsidR="00D25053">
        <w:rPr>
          <w:b/>
        </w:rPr>
        <w:t xml:space="preserve">                               </w:t>
      </w:r>
      <w:r w:rsidR="009F588D">
        <w:rPr>
          <w:b/>
        </w:rPr>
        <w:t xml:space="preserve"> </w:t>
      </w:r>
      <w:r w:rsidR="00B35612">
        <w:rPr>
          <w:b/>
        </w:rPr>
        <w:t xml:space="preserve"> </w:t>
      </w:r>
      <w:r>
        <w:rPr>
          <w:b/>
        </w:rPr>
        <w:t>ΑΡ.</w:t>
      </w:r>
      <w:r w:rsidR="006D3876">
        <w:rPr>
          <w:b/>
        </w:rPr>
        <w:t xml:space="preserve"> </w:t>
      </w:r>
      <w:r w:rsidR="003C2B45">
        <w:rPr>
          <w:b/>
        </w:rPr>
        <w:t xml:space="preserve">ΠΡΩΤ. </w:t>
      </w:r>
      <w:r w:rsidR="00087794">
        <w:rPr>
          <w:b/>
        </w:rPr>
        <w:t xml:space="preserve"> 2181</w:t>
      </w:r>
    </w:p>
    <w:p w:rsidR="0028300F" w:rsidRDefault="009F588D" w:rsidP="0028300F">
      <w:pPr>
        <w:spacing w:after="0"/>
        <w:rPr>
          <w:b/>
        </w:rPr>
      </w:pPr>
      <w:r>
        <w:rPr>
          <w:b/>
        </w:rPr>
        <w:t xml:space="preserve">ΥΦΥΠΟΥΡΓΟ 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ΜΙΧΑΛΗ ΠΑΠΑΔΟΠΟΥΛΟ</w:t>
      </w:r>
      <w:r w:rsidR="00B35612">
        <w:rPr>
          <w:b/>
        </w:rPr>
        <w:t xml:space="preserve"> </w:t>
      </w:r>
      <w:r w:rsidR="008629DD">
        <w:rPr>
          <w:b/>
        </w:rPr>
        <w:t xml:space="preserve"> </w:t>
      </w:r>
    </w:p>
    <w:p w:rsidR="00560A24" w:rsidRDefault="005669C2" w:rsidP="0035573A">
      <w:pPr>
        <w:rPr>
          <w:b/>
        </w:rPr>
      </w:pPr>
      <w:r>
        <w:rPr>
          <w:b/>
          <w:u w:val="single"/>
        </w:rPr>
        <w:t>ΚΟΙΝΟΠΟΙΗΣΗ:</w:t>
      </w: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D25053">
        <w:rPr>
          <w:b/>
        </w:rPr>
        <w:t xml:space="preserve">                                </w:t>
      </w:r>
      <w:r>
        <w:rPr>
          <w:b/>
        </w:rPr>
        <w:t xml:space="preserve"> Δ/ΝΤΡΙΑ ΥΦΥΠΟΥΡΓΟΥ κα ΕΥΑΓΓΕΛΙΑ ΤΣΑΓΚΑ</w:t>
      </w:r>
    </w:p>
    <w:p w:rsidR="00087794" w:rsidRPr="005669C2" w:rsidRDefault="00087794" w:rsidP="0035573A">
      <w:pPr>
        <w:rPr>
          <w:b/>
        </w:rPr>
      </w:pPr>
    </w:p>
    <w:p w:rsidR="00F930B6" w:rsidRPr="005669C2" w:rsidRDefault="0028300F" w:rsidP="005669C2">
      <w:pPr>
        <w:rPr>
          <w:b/>
          <w:u w:val="single"/>
        </w:rPr>
      </w:pPr>
      <w:r w:rsidRPr="007C44F7">
        <w:rPr>
          <w:b/>
          <w:u w:val="single"/>
        </w:rPr>
        <w:t>ΘΕΜΑ:</w:t>
      </w:r>
      <w:r w:rsidRPr="007C44F7">
        <w:rPr>
          <w:b/>
        </w:rPr>
        <w:t xml:space="preserve"> </w:t>
      </w:r>
      <w:r w:rsidR="007C44F7" w:rsidRPr="007C44F7">
        <w:rPr>
          <w:b/>
        </w:rPr>
        <w:t>ΠΡΟΒΛΗΜΑΤΑ ΤΟΥ ΚΛΑΔΟΥ</w:t>
      </w:r>
      <w:r w:rsidR="003C2B45" w:rsidRPr="007C44F7">
        <w:rPr>
          <w:b/>
        </w:rPr>
        <w:t xml:space="preserve"> ΠΟΥ ΣΥΖΗΤΗΘΗΚΑΝ ΣΤΙΣ ΣΥΝΑΝΤΗΣΕΙΣ 10 &amp; 11-11-14 ΤΟΥ </w:t>
      </w:r>
      <w:r w:rsidR="008629DD" w:rsidRPr="007C44F7">
        <w:rPr>
          <w:b/>
        </w:rPr>
        <w:t>ΣΕΕΑΕ</w:t>
      </w:r>
      <w:r w:rsidR="00D25053">
        <w:rPr>
          <w:b/>
        </w:rPr>
        <w:t>,</w:t>
      </w:r>
      <w:r w:rsidR="008629DD" w:rsidRPr="007C44F7">
        <w:rPr>
          <w:b/>
        </w:rPr>
        <w:t xml:space="preserve"> </w:t>
      </w:r>
      <w:r w:rsidR="002E645C" w:rsidRPr="007C44F7">
        <w:rPr>
          <w:b/>
        </w:rPr>
        <w:t xml:space="preserve">ΜΕ ΤΟΝ ΥΦΥΠΟΥΡΓΟ </w:t>
      </w:r>
      <w:proofErr w:type="spellStart"/>
      <w:r w:rsidR="002E645C" w:rsidRPr="007C44F7">
        <w:rPr>
          <w:b/>
        </w:rPr>
        <w:t>κ</w:t>
      </w:r>
      <w:r w:rsidR="003C2B45" w:rsidRPr="007C44F7">
        <w:rPr>
          <w:b/>
        </w:rPr>
        <w:t>ο</w:t>
      </w:r>
      <w:proofErr w:type="spellEnd"/>
      <w:r w:rsidR="003C2B45" w:rsidRPr="007C44F7">
        <w:rPr>
          <w:b/>
        </w:rPr>
        <w:t xml:space="preserve"> </w:t>
      </w:r>
      <w:r w:rsidR="007C44F7" w:rsidRPr="007C44F7">
        <w:rPr>
          <w:b/>
        </w:rPr>
        <w:t xml:space="preserve"> Μ. </w:t>
      </w:r>
      <w:r w:rsidR="003C2B45" w:rsidRPr="007C44F7">
        <w:rPr>
          <w:b/>
        </w:rPr>
        <w:t xml:space="preserve">ΠΑΠΑΔΟΠΟΥΛΟ ΚΑΙ </w:t>
      </w:r>
      <w:r w:rsidR="007C44F7" w:rsidRPr="007C44F7">
        <w:rPr>
          <w:b/>
        </w:rPr>
        <w:t xml:space="preserve">ΤΟΥΣ </w:t>
      </w:r>
      <w:r w:rsidR="003C2B45" w:rsidRPr="007C44F7">
        <w:rPr>
          <w:b/>
        </w:rPr>
        <w:t>ΣΥΝΕΡΓΑΤΕΣ ΤΟΥ.</w:t>
      </w:r>
    </w:p>
    <w:p w:rsidR="00087794" w:rsidRDefault="00087794" w:rsidP="00D25053">
      <w:pPr>
        <w:rPr>
          <w:b/>
          <w:u w:val="single"/>
        </w:rPr>
      </w:pPr>
    </w:p>
    <w:p w:rsidR="008629DD" w:rsidRPr="008629DD" w:rsidRDefault="008629DD" w:rsidP="008629DD">
      <w:pPr>
        <w:rPr>
          <w:b/>
          <w:u w:val="single"/>
        </w:rPr>
      </w:pPr>
      <w:r>
        <w:rPr>
          <w:b/>
          <w:u w:val="single"/>
        </w:rPr>
        <w:t>ΑΠΟΣΥΡΣΗ ΑΥΤ</w:t>
      </w:r>
      <w:r>
        <w:rPr>
          <w:b/>
          <w:u w:val="single"/>
          <w:lang w:val="en-US"/>
        </w:rPr>
        <w:t>OKINH</w:t>
      </w:r>
      <w:r w:rsidRPr="00F930B6">
        <w:rPr>
          <w:b/>
          <w:u w:val="single"/>
        </w:rPr>
        <w:t>ΤΟΥ</w:t>
      </w:r>
    </w:p>
    <w:p w:rsidR="0028300F" w:rsidRDefault="003C2B45">
      <w:r>
        <w:t xml:space="preserve">Η </w:t>
      </w:r>
      <w:r w:rsidR="001C5455">
        <w:t>πρόταση</w:t>
      </w:r>
      <w:r>
        <w:t xml:space="preserve"> </w:t>
      </w:r>
      <w:r w:rsidR="009D329A">
        <w:t xml:space="preserve">του </w:t>
      </w:r>
      <w:r>
        <w:t>ΣΕΕΑΕ είναι :</w:t>
      </w:r>
      <w:r w:rsidR="005650BB">
        <w:t xml:space="preserve"> </w:t>
      </w:r>
      <w:r w:rsidR="009D329A">
        <w:br/>
        <w:t xml:space="preserve">Εμείς σαν κλάδος στηρίζουμε και χαιρετίζουμε τη συνέχιση του μέτρου </w:t>
      </w:r>
      <w:r>
        <w:t xml:space="preserve">της </w:t>
      </w:r>
      <w:r w:rsidR="00D04032">
        <w:t>απόσυρσης</w:t>
      </w:r>
      <w:r>
        <w:t xml:space="preserve"> </w:t>
      </w:r>
      <w:r w:rsidR="009D329A">
        <w:t>υπό προϋποθέσεις</w:t>
      </w:r>
      <w:r>
        <w:t xml:space="preserve"> :</w:t>
      </w:r>
      <w:r w:rsidR="009D329A">
        <w:t xml:space="preserve"> </w:t>
      </w:r>
      <w:r w:rsidR="00D04032">
        <w:t xml:space="preserve">                                                                                                                                      Να συμπεριληφθούν</w:t>
      </w:r>
      <w:r w:rsidR="003972F1">
        <w:t xml:space="preserve"> στην απόσυρση</w:t>
      </w:r>
      <w:r w:rsidR="009D329A">
        <w:t xml:space="preserve"> και τα </w:t>
      </w:r>
      <w:r w:rsidR="003972F1">
        <w:t xml:space="preserve">μεταχειρισμένα αυτοκίνητα, </w:t>
      </w:r>
      <w:r w:rsidR="009D329A">
        <w:t xml:space="preserve">εισαγόμενα αλλά και εγχώρια </w:t>
      </w:r>
      <w:r w:rsidR="00D04032">
        <w:t xml:space="preserve">ΕΥΡΟ 5 </w:t>
      </w:r>
      <w:r w:rsidR="003972F1">
        <w:t>ή νεότερης</w:t>
      </w:r>
      <w:r w:rsidR="00550C6E">
        <w:t xml:space="preserve"> οδηγία</w:t>
      </w:r>
      <w:r w:rsidR="003972F1">
        <w:t>ς</w:t>
      </w:r>
      <w:r w:rsidR="00550C6E">
        <w:t xml:space="preserve"> </w:t>
      </w:r>
      <w:r w:rsidR="00D04032">
        <w:t xml:space="preserve">και πενταετία. </w:t>
      </w:r>
    </w:p>
    <w:p w:rsidR="008629DD" w:rsidRDefault="008629DD" w:rsidP="008629DD">
      <w:pPr>
        <w:rPr>
          <w:b/>
          <w:u w:val="single"/>
        </w:rPr>
      </w:pPr>
      <w:r w:rsidRPr="00C2621B">
        <w:rPr>
          <w:b/>
          <w:u w:val="single"/>
        </w:rPr>
        <w:t>ΑΣΦΑΛΙΣΤΙΚΗ ΚΑΛΥΨΗ ΜΕΤΑΒΙΒΑΖΟΜΕΝΩΝ ΑΥΤΟΚΙΝΗΤΩΝ</w:t>
      </w:r>
    </w:p>
    <w:p w:rsidR="008629DD" w:rsidRDefault="008629DD" w:rsidP="008629DD">
      <w:r>
        <w:t>Με την αιφνιδιαστική εφαρμογή τη</w:t>
      </w:r>
      <w:r w:rsidR="00D04032">
        <w:t>ς ΠΟΛ 1273/2013 το Υπουργείο Οικονομικών</w:t>
      </w:r>
      <w:r w:rsidR="00550C6E">
        <w:t xml:space="preserve"> </w:t>
      </w:r>
      <w:r>
        <w:t>υ</w:t>
      </w:r>
      <w:r w:rsidR="00D04032">
        <w:t>ποχρεώνει</w:t>
      </w:r>
      <w:r w:rsidR="00550C6E">
        <w:t xml:space="preserve">, για μεταβίβαση </w:t>
      </w:r>
      <w:proofErr w:type="spellStart"/>
      <w:r w:rsidR="00550C6E">
        <w:t>αυτ</w:t>
      </w:r>
      <w:proofErr w:type="spellEnd"/>
      <w:r w:rsidR="00550C6E">
        <w:t xml:space="preserve">/του σε έμπορο, </w:t>
      </w:r>
      <w:r>
        <w:t>να γίνει άρση της ακινησίας να υποβληθεί και ασφα</w:t>
      </w:r>
      <w:r w:rsidR="00550C6E">
        <w:t xml:space="preserve">λιστήριο συμβόλαιο για το </w:t>
      </w:r>
      <w:proofErr w:type="spellStart"/>
      <w:r w:rsidR="00550C6E">
        <w:t>αυτ</w:t>
      </w:r>
      <w:proofErr w:type="spellEnd"/>
      <w:r w:rsidR="00550C6E">
        <w:t>/</w:t>
      </w:r>
      <w:r w:rsidR="00D04032">
        <w:t>το που βρίσκεται σε ακινησία.</w:t>
      </w:r>
    </w:p>
    <w:p w:rsidR="008629DD" w:rsidRDefault="008629DD" w:rsidP="008629DD">
      <w:r w:rsidRPr="008629DD">
        <w:rPr>
          <w:b/>
        </w:rPr>
        <w:t>Πρόταση</w:t>
      </w:r>
      <w:r w:rsidR="003C3384">
        <w:t xml:space="preserve"> : Ν</w:t>
      </w:r>
      <w:r>
        <w:t xml:space="preserve">α </w:t>
      </w:r>
      <w:r w:rsidR="003C3384">
        <w:t>γίνεται</w:t>
      </w:r>
      <w:r>
        <w:t xml:space="preserve"> </w:t>
      </w:r>
      <w:r w:rsidR="003C3384">
        <w:t>άρση</w:t>
      </w:r>
      <w:r>
        <w:t xml:space="preserve"> </w:t>
      </w:r>
      <w:r w:rsidR="003C3384">
        <w:t>μόνο</w:t>
      </w:r>
      <w:r>
        <w:t xml:space="preserve"> της </w:t>
      </w:r>
      <w:r w:rsidR="003C3384">
        <w:t>άδειας</w:t>
      </w:r>
      <w:r>
        <w:t xml:space="preserve"> </w:t>
      </w:r>
      <w:r w:rsidR="003C3384">
        <w:t>κυκλοφορίας</w:t>
      </w:r>
      <w:r>
        <w:t xml:space="preserve"> για να </w:t>
      </w:r>
      <w:r w:rsidR="003C3384">
        <w:t>πραγματοποιείται</w:t>
      </w:r>
      <w:r>
        <w:t xml:space="preserve"> η </w:t>
      </w:r>
      <w:r w:rsidR="003C3384">
        <w:t>μεταβίβαση</w:t>
      </w:r>
      <w:r>
        <w:t xml:space="preserve"> του </w:t>
      </w:r>
      <w:proofErr w:type="spellStart"/>
      <w:r>
        <w:t>αυτ</w:t>
      </w:r>
      <w:proofErr w:type="spellEnd"/>
      <w:r>
        <w:t>/του</w:t>
      </w:r>
      <w:r w:rsidR="003C3384">
        <w:t>,</w:t>
      </w:r>
      <w:r>
        <w:t xml:space="preserve"> όταν </w:t>
      </w:r>
      <w:r w:rsidR="003C3384">
        <w:t>πωλητής</w:t>
      </w:r>
      <w:r>
        <w:t xml:space="preserve"> ή </w:t>
      </w:r>
      <w:r w:rsidR="003C3384">
        <w:t>αγοραστής</w:t>
      </w:r>
      <w:r>
        <w:t xml:space="preserve"> είναι </w:t>
      </w:r>
      <w:r w:rsidR="003C3384">
        <w:t xml:space="preserve">έμπορος </w:t>
      </w:r>
      <w:proofErr w:type="spellStart"/>
      <w:r w:rsidR="003C3384">
        <w:t>αυτ</w:t>
      </w:r>
      <w:proofErr w:type="spellEnd"/>
      <w:r w:rsidR="003C3384">
        <w:t xml:space="preserve">/των. </w:t>
      </w:r>
    </w:p>
    <w:p w:rsidR="008629DD" w:rsidRPr="00D25053" w:rsidRDefault="00560A24" w:rsidP="008629DD">
      <w:pPr>
        <w:rPr>
          <w:sz w:val="20"/>
        </w:rPr>
      </w:pPr>
      <w:r>
        <w:rPr>
          <w:rFonts w:cs="Times New Roman"/>
          <w:b/>
          <w:szCs w:val="24"/>
        </w:rPr>
        <w:t xml:space="preserve">Επίσης, </w:t>
      </w:r>
      <w:r>
        <w:rPr>
          <w:rFonts w:cs="Times New Roman"/>
          <w:szCs w:val="24"/>
        </w:rPr>
        <w:t>γ</w:t>
      </w:r>
      <w:r w:rsidRPr="00560A24">
        <w:rPr>
          <w:rFonts w:cs="Times New Roman"/>
          <w:szCs w:val="24"/>
        </w:rPr>
        <w:t xml:space="preserve">ια </w:t>
      </w:r>
      <w:proofErr w:type="spellStart"/>
      <w:r w:rsidRPr="00560A24">
        <w:rPr>
          <w:rFonts w:cs="Times New Roman"/>
          <w:szCs w:val="24"/>
        </w:rPr>
        <w:t>αυτ</w:t>
      </w:r>
      <w:proofErr w:type="spellEnd"/>
      <w:r w:rsidRPr="00560A24">
        <w:rPr>
          <w:rFonts w:cs="Times New Roman"/>
          <w:szCs w:val="24"/>
        </w:rPr>
        <w:t xml:space="preserve">/τα που δεν βρίσκονται σε καθεστώς φορολογικής ακινησίας, έχουν πληρωμένα τα τέλη κυκλοφορίας του τρέχοντος έτους και πρόκειται να μεταβιβασθούν σε </w:t>
      </w:r>
      <w:r w:rsidRPr="00560A24">
        <w:rPr>
          <w:rFonts w:cs="Times New Roman"/>
          <w:b/>
          <w:szCs w:val="24"/>
        </w:rPr>
        <w:t xml:space="preserve">έμπορο </w:t>
      </w:r>
      <w:proofErr w:type="spellStart"/>
      <w:r w:rsidRPr="00560A24">
        <w:rPr>
          <w:rFonts w:cs="Times New Roman"/>
          <w:b/>
          <w:szCs w:val="24"/>
        </w:rPr>
        <w:t>αυτ</w:t>
      </w:r>
      <w:proofErr w:type="spellEnd"/>
      <w:r w:rsidRPr="00560A24">
        <w:rPr>
          <w:rFonts w:cs="Times New Roman"/>
          <w:b/>
          <w:szCs w:val="24"/>
        </w:rPr>
        <w:t>/των</w:t>
      </w:r>
      <w:r w:rsidRPr="00560A24">
        <w:rPr>
          <w:rFonts w:cs="Times New Roman"/>
          <w:szCs w:val="24"/>
        </w:rPr>
        <w:t xml:space="preserve">, ο όποιος άμεσα θα θέσει αυτά τα </w:t>
      </w:r>
      <w:proofErr w:type="spellStart"/>
      <w:r w:rsidRPr="00560A24">
        <w:rPr>
          <w:rFonts w:cs="Times New Roman"/>
          <w:szCs w:val="24"/>
        </w:rPr>
        <w:t>αυτ</w:t>
      </w:r>
      <w:proofErr w:type="spellEnd"/>
      <w:r w:rsidRPr="00560A24">
        <w:rPr>
          <w:rFonts w:cs="Times New Roman"/>
          <w:szCs w:val="24"/>
        </w:rPr>
        <w:t xml:space="preserve">/τα σε καθεστώς φορολογικής ακινησίας δεν πρέπει να ζητείται, </w:t>
      </w:r>
      <w:r w:rsidRPr="00560A24">
        <w:rPr>
          <w:rFonts w:cs="Times New Roman"/>
          <w:szCs w:val="24"/>
          <w:u w:val="single"/>
        </w:rPr>
        <w:t>ασφαλιστήριο συμβόλαιο</w:t>
      </w:r>
      <w:r w:rsidRPr="00560A24">
        <w:rPr>
          <w:rFonts w:cs="Times New Roman"/>
          <w:szCs w:val="24"/>
        </w:rPr>
        <w:t xml:space="preserve"> στο όνομα του εμπόρου, έστω και ολίγων ημερών</w:t>
      </w:r>
      <w:r>
        <w:rPr>
          <w:rFonts w:cs="Times New Roman"/>
          <w:szCs w:val="24"/>
        </w:rPr>
        <w:t>.</w:t>
      </w:r>
    </w:p>
    <w:p w:rsidR="008629DD" w:rsidRDefault="008629DD" w:rsidP="008629DD">
      <w:r>
        <w:rPr>
          <w:b/>
          <w:u w:val="single"/>
        </w:rPr>
        <w:t xml:space="preserve">ΤΕΛΗ ΚΥΚΛΟΦΟΡΙΑΣ </w:t>
      </w:r>
      <w:r w:rsidRPr="00C2621B">
        <w:rPr>
          <w:b/>
          <w:u w:val="single"/>
        </w:rPr>
        <w:t>ΜΕΤΑΒΙΒΑΖΟΜΕΝΩΝ ΑΥΤΟΚΙΝΗΤΩΝ</w:t>
      </w:r>
    </w:p>
    <w:p w:rsidR="008629DD" w:rsidRDefault="003C3384" w:rsidP="003C3384">
      <w:pPr>
        <w:rPr>
          <w:rFonts w:cs="Times New Roman"/>
          <w:szCs w:val="24"/>
        </w:rPr>
      </w:pPr>
      <w:r w:rsidRPr="003C3384">
        <w:rPr>
          <w:rFonts w:cs="Times New Roman"/>
          <w:szCs w:val="24"/>
        </w:rPr>
        <w:t xml:space="preserve">Για </w:t>
      </w:r>
      <w:proofErr w:type="spellStart"/>
      <w:r w:rsidRPr="003C3384">
        <w:rPr>
          <w:rFonts w:cs="Times New Roman"/>
          <w:szCs w:val="24"/>
        </w:rPr>
        <w:t>αυτ</w:t>
      </w:r>
      <w:proofErr w:type="spellEnd"/>
      <w:r w:rsidRPr="003C3384">
        <w:rPr>
          <w:rFonts w:cs="Times New Roman"/>
          <w:szCs w:val="24"/>
        </w:rPr>
        <w:t xml:space="preserve">/τα που βρίσκονται σε καθεστώς φορολογικής ακινησίας και πρόκειται να </w:t>
      </w:r>
      <w:r>
        <w:rPr>
          <w:rFonts w:cs="Times New Roman"/>
          <w:szCs w:val="24"/>
        </w:rPr>
        <w:t xml:space="preserve"> </w:t>
      </w:r>
      <w:r w:rsidRPr="003C3384">
        <w:rPr>
          <w:rFonts w:cs="Times New Roman"/>
          <w:szCs w:val="24"/>
        </w:rPr>
        <w:t xml:space="preserve">μεταβιβασθούν σε </w:t>
      </w:r>
      <w:r w:rsidRPr="003C3384">
        <w:rPr>
          <w:rFonts w:cs="Times New Roman"/>
          <w:b/>
          <w:szCs w:val="24"/>
        </w:rPr>
        <w:t xml:space="preserve">έμπορο </w:t>
      </w:r>
      <w:proofErr w:type="spellStart"/>
      <w:r w:rsidRPr="003C3384">
        <w:rPr>
          <w:rFonts w:cs="Times New Roman"/>
          <w:b/>
          <w:szCs w:val="24"/>
        </w:rPr>
        <w:t>αυτ</w:t>
      </w:r>
      <w:proofErr w:type="spellEnd"/>
      <w:r w:rsidRPr="003C3384">
        <w:rPr>
          <w:rFonts w:cs="Times New Roman"/>
          <w:b/>
          <w:szCs w:val="24"/>
        </w:rPr>
        <w:t>/των</w:t>
      </w:r>
      <w:r w:rsidRPr="003C3384">
        <w:rPr>
          <w:rFonts w:cs="Times New Roman"/>
          <w:szCs w:val="24"/>
        </w:rPr>
        <w:t xml:space="preserve">, ο όποιος θα συνεχίσει το καθεστώς της φορολογικής ακινησίας δεν πρέπει να ζητείται, </w:t>
      </w:r>
      <w:r w:rsidRPr="003C3384">
        <w:rPr>
          <w:rFonts w:cs="Times New Roman"/>
          <w:szCs w:val="24"/>
          <w:u w:val="single"/>
        </w:rPr>
        <w:t>καταβολή τελών κυκλοφορίας</w:t>
      </w:r>
      <w:r w:rsidRPr="003C3384">
        <w:rPr>
          <w:rFonts w:cs="Times New Roman"/>
          <w:szCs w:val="24"/>
        </w:rPr>
        <w:t xml:space="preserve"> των υπολειπόμενων μηνών του τρέχοντος έτους</w:t>
      </w:r>
      <w:r>
        <w:rPr>
          <w:rFonts w:cs="Times New Roman"/>
          <w:szCs w:val="24"/>
        </w:rPr>
        <w:t xml:space="preserve"> (ΠΟΛ. 1110/16-4-14).</w:t>
      </w:r>
    </w:p>
    <w:p w:rsidR="003C3384" w:rsidRDefault="003C3384" w:rsidP="003C3384">
      <w:r w:rsidRPr="008629DD">
        <w:rPr>
          <w:b/>
        </w:rPr>
        <w:t>Πρόταση</w:t>
      </w:r>
      <w:r>
        <w:t xml:space="preserve"> : Να γίνεται άρση μόνο της άδειας κυκλοφορίας για να πραγματοποιείται η μεταβίβαση του </w:t>
      </w:r>
      <w:proofErr w:type="spellStart"/>
      <w:r>
        <w:t>αυτ</w:t>
      </w:r>
      <w:proofErr w:type="spellEnd"/>
      <w:r>
        <w:t xml:space="preserve">/του, </w:t>
      </w:r>
      <w:r w:rsidR="003972F1">
        <w:t xml:space="preserve">όταν ο </w:t>
      </w:r>
      <w:r>
        <w:t xml:space="preserve">αγοραστής είναι έμπορος </w:t>
      </w:r>
      <w:proofErr w:type="spellStart"/>
      <w:r>
        <w:t>αυτ</w:t>
      </w:r>
      <w:proofErr w:type="spellEnd"/>
      <w:r>
        <w:t>/των.</w:t>
      </w:r>
    </w:p>
    <w:p w:rsidR="00D25053" w:rsidRPr="003C3384" w:rsidRDefault="00D25053" w:rsidP="003C3384"/>
    <w:p w:rsidR="008629DD" w:rsidRDefault="008629DD" w:rsidP="008629DD">
      <w:pPr>
        <w:rPr>
          <w:b/>
          <w:u w:val="single"/>
        </w:rPr>
      </w:pPr>
      <w:r w:rsidRPr="0099457E">
        <w:rPr>
          <w:b/>
          <w:u w:val="single"/>
        </w:rPr>
        <w:lastRenderedPageBreak/>
        <w:t>ΧΡΗΣΗ ΠΙΝΑΚΙΔΩΝ ΔΟΚΙΜΗΣ</w:t>
      </w:r>
    </w:p>
    <w:p w:rsidR="008629DD" w:rsidRDefault="00550C6E" w:rsidP="008629DD">
      <w:r>
        <w:t xml:space="preserve">Να μην αλλάξει το </w:t>
      </w:r>
      <w:r w:rsidR="00531743">
        <w:t>υπάρχον</w:t>
      </w:r>
      <w:r>
        <w:t xml:space="preserve"> </w:t>
      </w:r>
      <w:r w:rsidR="003972F1">
        <w:t xml:space="preserve">καθεστώς </w:t>
      </w:r>
      <w:r w:rsidR="003972F1" w:rsidRPr="003972F1">
        <w:t xml:space="preserve"> </w:t>
      </w:r>
      <w:r w:rsidR="003972F1">
        <w:t xml:space="preserve">ΦΕΚ. 2046/2013.    </w:t>
      </w:r>
      <w:r>
        <w:t xml:space="preserve">                                             </w:t>
      </w:r>
      <w:r w:rsidR="0035573A">
        <w:t xml:space="preserve">             </w:t>
      </w:r>
      <w:r w:rsidR="00D25053">
        <w:t xml:space="preserve">                                          </w:t>
      </w:r>
      <w:r w:rsidR="0035573A">
        <w:t xml:space="preserve">Να χρησιμοποιούνται και στα </w:t>
      </w:r>
      <w:proofErr w:type="spellStart"/>
      <w:r w:rsidR="0035573A">
        <w:t>αυτ</w:t>
      </w:r>
      <w:proofErr w:type="spellEnd"/>
      <w:r w:rsidR="0035573A">
        <w:t xml:space="preserve">/τα που βρίσκονται σε καθεστώς φορολογικής ακινησίας </w:t>
      </w:r>
      <w:r>
        <w:t xml:space="preserve"> </w:t>
      </w:r>
      <w:r w:rsidR="0035573A">
        <w:t xml:space="preserve">και </w:t>
      </w:r>
      <w:r>
        <w:t xml:space="preserve"> να μην </w:t>
      </w:r>
      <w:r w:rsidR="0035573A">
        <w:t>επιτρέπεται η χρήση τους σε άλλα κράτη</w:t>
      </w:r>
      <w:r w:rsidR="003972F1">
        <w:t>,</w:t>
      </w:r>
      <w:r w:rsidR="0035573A">
        <w:t xml:space="preserve"> παρά μόνο στην Ελλάδα.</w:t>
      </w:r>
    </w:p>
    <w:p w:rsidR="0035573A" w:rsidRDefault="0035573A" w:rsidP="008629DD">
      <w:pPr>
        <w:rPr>
          <w:b/>
          <w:u w:val="single"/>
        </w:rPr>
      </w:pPr>
      <w:r>
        <w:rPr>
          <w:b/>
          <w:u w:val="single"/>
        </w:rPr>
        <w:t>ΟΡΙΣΤΙΚΗ ΔΙΑΓΡΑΦΗ ΚΑΙ ΕΞΑΓΩΓΗ ΤΟΥ ΑΥΤ/ΤΟΥ</w:t>
      </w:r>
    </w:p>
    <w:p w:rsidR="00F170E1" w:rsidRDefault="00B9343E" w:rsidP="008629DD">
      <w:r>
        <w:t xml:space="preserve">Η </w:t>
      </w:r>
      <w:r w:rsidR="00531743">
        <w:t>οριστική</w:t>
      </w:r>
      <w:r>
        <w:t xml:space="preserve"> </w:t>
      </w:r>
      <w:r w:rsidR="00531743">
        <w:t>διαγραφή</w:t>
      </w:r>
      <w:r>
        <w:t xml:space="preserve"> του </w:t>
      </w:r>
      <w:proofErr w:type="spellStart"/>
      <w:r>
        <w:t>αυτ</w:t>
      </w:r>
      <w:proofErr w:type="spellEnd"/>
      <w:r>
        <w:t xml:space="preserve">/του να </w:t>
      </w:r>
      <w:r w:rsidR="00531743">
        <w:t>γίνεται</w:t>
      </w:r>
      <w:r>
        <w:t xml:space="preserve"> </w:t>
      </w:r>
      <w:r w:rsidR="00531743">
        <w:t>εφόσον</w:t>
      </w:r>
      <w:r>
        <w:t xml:space="preserve"> ο </w:t>
      </w:r>
      <w:r w:rsidR="00531743">
        <w:t xml:space="preserve">έμπορος </w:t>
      </w:r>
      <w:proofErr w:type="spellStart"/>
      <w:r w:rsidR="00531743">
        <w:t>αυτ</w:t>
      </w:r>
      <w:proofErr w:type="spellEnd"/>
      <w:r w:rsidR="00531743">
        <w:t>/των προσκομίσει</w:t>
      </w:r>
      <w:r>
        <w:t xml:space="preserve"> το </w:t>
      </w:r>
      <w:r w:rsidR="00531743">
        <w:t>τιμολόγιο</w:t>
      </w:r>
      <w:r>
        <w:t xml:space="preserve"> </w:t>
      </w:r>
      <w:r w:rsidR="00531743">
        <w:t>πώλησης</w:t>
      </w:r>
      <w:r>
        <w:t xml:space="preserve"> και το </w:t>
      </w:r>
      <w:r>
        <w:rPr>
          <w:lang w:val="en-US"/>
        </w:rPr>
        <w:t>CMR</w:t>
      </w:r>
      <w:r w:rsidRPr="00B9343E">
        <w:t xml:space="preserve"> </w:t>
      </w:r>
      <w:r>
        <w:t xml:space="preserve">της  </w:t>
      </w:r>
      <w:r w:rsidR="00531743">
        <w:t>μεταφορικής</w:t>
      </w:r>
      <w:r>
        <w:t xml:space="preserve"> </w:t>
      </w:r>
      <w:r w:rsidR="00531743">
        <w:t>εταιρείας</w:t>
      </w:r>
      <w:r w:rsidR="00746961" w:rsidRPr="00746961">
        <w:t xml:space="preserve"> </w:t>
      </w:r>
      <w:r w:rsidR="00746961">
        <w:t xml:space="preserve">ή με την έκδοση </w:t>
      </w:r>
      <w:r w:rsidR="00F73FE9">
        <w:rPr>
          <w:lang w:val="en-US"/>
        </w:rPr>
        <w:t>zoll</w:t>
      </w:r>
      <w:r w:rsidR="00746961" w:rsidRPr="00746961">
        <w:t xml:space="preserve"> </w:t>
      </w:r>
      <w:r w:rsidR="00746961">
        <w:t>πινακίδων από το τελωνείο</w:t>
      </w:r>
      <w:r w:rsidR="00F170E1" w:rsidRPr="00F170E1">
        <w:t xml:space="preserve">, </w:t>
      </w:r>
      <w:r w:rsidR="00F170E1">
        <w:t xml:space="preserve">το ίδιο να ισχύει και για τον ιδιώτη που θα πουλήσει το </w:t>
      </w:r>
      <w:proofErr w:type="spellStart"/>
      <w:r w:rsidR="00F170E1">
        <w:t>αυτ</w:t>
      </w:r>
      <w:proofErr w:type="spellEnd"/>
      <w:r w:rsidR="00F170E1">
        <w:t xml:space="preserve">/το του, που βρίσκεται σε ακινησία, σε έμπορο </w:t>
      </w:r>
      <w:proofErr w:type="spellStart"/>
      <w:r w:rsidR="00F170E1">
        <w:t>αυτ</w:t>
      </w:r>
      <w:proofErr w:type="spellEnd"/>
      <w:r w:rsidR="00F170E1">
        <w:t>/των</w:t>
      </w:r>
      <w:r>
        <w:t xml:space="preserve">. </w:t>
      </w:r>
      <w:r w:rsidR="00F170E1">
        <w:t xml:space="preserve">  Να διαγράφεται οριστικά το </w:t>
      </w:r>
      <w:proofErr w:type="spellStart"/>
      <w:r w:rsidR="00F170E1">
        <w:t>αυτ</w:t>
      </w:r>
      <w:proofErr w:type="spellEnd"/>
      <w:r w:rsidR="00F170E1">
        <w:t>/το του με το τιμολόγιο αγοράς και πώλησης του εμπόρου</w:t>
      </w:r>
      <w:r w:rsidR="00617A59">
        <w:t xml:space="preserve"> ή </w:t>
      </w:r>
      <w:r w:rsidR="002E645C">
        <w:t xml:space="preserve">με την έκδοση </w:t>
      </w:r>
      <w:r w:rsidR="00F73FE9">
        <w:rPr>
          <w:lang w:val="en-US"/>
        </w:rPr>
        <w:t>zoll</w:t>
      </w:r>
      <w:r w:rsidR="002E645C">
        <w:t>.</w:t>
      </w:r>
    </w:p>
    <w:p w:rsidR="0035573A" w:rsidRDefault="0035573A" w:rsidP="008629DD">
      <w:pPr>
        <w:rPr>
          <w:b/>
          <w:u w:val="single"/>
        </w:rPr>
      </w:pPr>
      <w:r>
        <w:rPr>
          <w:b/>
          <w:u w:val="single"/>
        </w:rPr>
        <w:t>ΧΙΛΙΟΜΕΤΡΑ ΑΥΤ/ΤΩΝ</w:t>
      </w:r>
    </w:p>
    <w:p w:rsidR="0035573A" w:rsidRDefault="00B9343E" w:rsidP="008629DD">
      <w:r>
        <w:t xml:space="preserve">Να </w:t>
      </w:r>
      <w:r w:rsidR="00531743">
        <w:t>φαίνονται</w:t>
      </w:r>
      <w:r>
        <w:t xml:space="preserve"> τα χλμ των </w:t>
      </w:r>
      <w:proofErr w:type="spellStart"/>
      <w:r>
        <w:t>αυτ</w:t>
      </w:r>
      <w:proofErr w:type="spellEnd"/>
      <w:r>
        <w:t xml:space="preserve">/των στα ΚΤΕΟ όχι τα </w:t>
      </w:r>
      <w:r w:rsidR="00531743">
        <w:t xml:space="preserve">τελευταία, αλλά και τα προηγούμενα.   Όταν πωλητής του </w:t>
      </w:r>
      <w:proofErr w:type="spellStart"/>
      <w:r w:rsidR="00531743">
        <w:t>αυτ</w:t>
      </w:r>
      <w:proofErr w:type="spellEnd"/>
      <w:r w:rsidR="00531743">
        <w:t xml:space="preserve">/του είναι έμπορος </w:t>
      </w:r>
      <w:proofErr w:type="spellStart"/>
      <w:r w:rsidR="00531743">
        <w:t>αυτ</w:t>
      </w:r>
      <w:proofErr w:type="spellEnd"/>
      <w:r w:rsidR="00531743">
        <w:t>/των ή εταιρεία, ν</w:t>
      </w:r>
      <w:r>
        <w:t xml:space="preserve">α </w:t>
      </w:r>
      <w:r w:rsidR="00531743">
        <w:t>αναγράφονται</w:t>
      </w:r>
      <w:r>
        <w:t xml:space="preserve"> </w:t>
      </w:r>
      <w:r w:rsidR="00531743">
        <w:t xml:space="preserve">τα χλμ του </w:t>
      </w:r>
      <w:proofErr w:type="spellStart"/>
      <w:r w:rsidR="00531743">
        <w:t>αυτ</w:t>
      </w:r>
      <w:proofErr w:type="spellEnd"/>
      <w:r w:rsidR="00531743">
        <w:t xml:space="preserve">/του </w:t>
      </w:r>
      <w:r>
        <w:t xml:space="preserve">στο </w:t>
      </w:r>
      <w:r w:rsidR="00531743">
        <w:t>τιμολόγιο</w:t>
      </w:r>
      <w:r>
        <w:t xml:space="preserve"> </w:t>
      </w:r>
      <w:r w:rsidR="00531743">
        <w:t>πώλησης</w:t>
      </w:r>
      <w:r>
        <w:t xml:space="preserve">. </w:t>
      </w:r>
      <w:r w:rsidR="00531743">
        <w:t xml:space="preserve">                                                                                                     </w:t>
      </w:r>
      <w:r w:rsidR="003E3AE1">
        <w:t>Όταν</w:t>
      </w:r>
      <w:r>
        <w:t xml:space="preserve"> </w:t>
      </w:r>
      <w:r w:rsidR="00531743">
        <w:t>πωλητής</w:t>
      </w:r>
      <w:r>
        <w:t xml:space="preserve"> του </w:t>
      </w:r>
      <w:proofErr w:type="spellStart"/>
      <w:r>
        <w:t>αυτ</w:t>
      </w:r>
      <w:proofErr w:type="spellEnd"/>
      <w:r>
        <w:t xml:space="preserve">/του είναι </w:t>
      </w:r>
      <w:r w:rsidR="00531743">
        <w:t>ιδιώτης</w:t>
      </w:r>
      <w:r>
        <w:t xml:space="preserve"> να </w:t>
      </w:r>
      <w:r w:rsidR="00531743">
        <w:t>υπάρχει</w:t>
      </w:r>
      <w:r>
        <w:t xml:space="preserve"> </w:t>
      </w:r>
      <w:r w:rsidR="00531743">
        <w:t>δήλωση</w:t>
      </w:r>
      <w:r>
        <w:t xml:space="preserve"> </w:t>
      </w:r>
      <w:r w:rsidR="00531743">
        <w:t>νόμου</w:t>
      </w:r>
      <w:r>
        <w:t xml:space="preserve"> 105 </w:t>
      </w:r>
      <w:r w:rsidR="00531743">
        <w:t xml:space="preserve">με το γνήσιο της υπογραφής του, όπου θα αναγράφονται τα χλμ του </w:t>
      </w:r>
      <w:proofErr w:type="spellStart"/>
      <w:r w:rsidR="00531743">
        <w:t>αυτ</w:t>
      </w:r>
      <w:proofErr w:type="spellEnd"/>
      <w:r w:rsidR="00531743">
        <w:t>/του.</w:t>
      </w:r>
    </w:p>
    <w:p w:rsidR="00D25053" w:rsidRPr="00F170E1" w:rsidRDefault="00D25053" w:rsidP="008629DD"/>
    <w:p w:rsidR="005669C2" w:rsidRDefault="001C5455">
      <w:r w:rsidRPr="002E645C">
        <w:rPr>
          <w:b/>
        </w:rPr>
        <w:t>Ελπίζουμε</w:t>
      </w:r>
      <w:r>
        <w:t xml:space="preserve"> οι προτάσεις μας να γίνουν δεκτές</w:t>
      </w:r>
      <w:r w:rsidR="00282DA7">
        <w:t>,</w:t>
      </w:r>
      <w:r>
        <w:t xml:space="preserve"> γιατί πιστεύουμε ότι είναι προς την σωστή κατεύθυνση και εφαρμόζον</w:t>
      </w:r>
      <w:r w:rsidR="002E645C">
        <w:t>τας τες, αφενός θα διευκολύνουν</w:t>
      </w:r>
      <w:r>
        <w:t xml:space="preserve"> την καθημερινή μας συναλλαγή με τις υπηρεσίες</w:t>
      </w:r>
      <w:r w:rsidR="00282DA7">
        <w:t>,</w:t>
      </w:r>
      <w:r>
        <w:t xml:space="preserve"> θα βοηθήσουν την α</w:t>
      </w:r>
      <w:r w:rsidR="002E645C">
        <w:t>νάπτυξη του κλάδου, θα εξυγιάνουν</w:t>
      </w:r>
      <w:r>
        <w:t xml:space="preserve"> τις αγοραπωλησίες με όλα τα θετικά </w:t>
      </w:r>
      <w:r w:rsidR="0090636A">
        <w:t xml:space="preserve">αποτελέσματα </w:t>
      </w:r>
      <w:r>
        <w:t>και για την πολιτεία και για τον σωστό επιχειρηματία και για τον πολίτη, ο οποίος όσον αφορά το μέτρο της απόσυρσης</w:t>
      </w:r>
      <w:r w:rsidR="002E645C">
        <w:t>,</w:t>
      </w:r>
      <w:r>
        <w:t xml:space="preserve"> θα έχει την ευκαιρία να γίνει κάτοχος ενός </w:t>
      </w:r>
      <w:r w:rsidR="00282DA7">
        <w:t>καθαρού και σ</w:t>
      </w:r>
      <w:r>
        <w:t xml:space="preserve">ύγχρονου μεταχειρισμένου </w:t>
      </w:r>
      <w:proofErr w:type="spellStart"/>
      <w:r>
        <w:t>αυτ</w:t>
      </w:r>
      <w:proofErr w:type="spellEnd"/>
      <w:r>
        <w:t>/του</w:t>
      </w:r>
      <w:r w:rsidR="00282DA7">
        <w:t>,</w:t>
      </w:r>
      <w:r w:rsidR="00056C90">
        <w:t xml:space="preserve"> σε χαμηλή τιμή και θ</w:t>
      </w:r>
      <w:r>
        <w:t>α απαλλαγεί από ένα παλιό και επικίνδυνο σαραβαλάκι</w:t>
      </w:r>
      <w:r w:rsidR="00056C90">
        <w:t xml:space="preserve"> που σήμερα κατέχει, γιατί δεν μπορεί λόγο υψηλού κόστους να το αντικαταστήσει με ένα καινούργιο </w:t>
      </w:r>
      <w:proofErr w:type="spellStart"/>
      <w:r w:rsidR="00056C90">
        <w:t>αυτ</w:t>
      </w:r>
      <w:proofErr w:type="spellEnd"/>
      <w:r w:rsidR="00056C90">
        <w:t>/το</w:t>
      </w:r>
      <w:r>
        <w:t>.</w:t>
      </w:r>
    </w:p>
    <w:p w:rsidR="00D25053" w:rsidRDefault="00D25053"/>
    <w:p w:rsidR="00D25053" w:rsidRDefault="00D25053"/>
    <w:p w:rsidR="00D25053" w:rsidRPr="001C5455" w:rsidRDefault="00D25053"/>
    <w:p w:rsidR="0028300F" w:rsidRPr="0028300F" w:rsidRDefault="006D3876" w:rsidP="006D3876">
      <w:pPr>
        <w:spacing w:after="0"/>
        <w:jc w:val="center"/>
      </w:pPr>
      <w:r>
        <w:t xml:space="preserve">Μετά Τιμής </w:t>
      </w:r>
    </w:p>
    <w:p w:rsidR="0028300F" w:rsidRDefault="009F2F1A" w:rsidP="006D3876">
      <w:pPr>
        <w:jc w:val="center"/>
      </w:pPr>
      <w:r>
        <w:t>Εκ μέρους</w:t>
      </w:r>
      <w:r w:rsidR="006D3876">
        <w:t xml:space="preserve"> το</w:t>
      </w:r>
      <w:r>
        <w:t>υ Δ.Σ.</w:t>
      </w:r>
    </w:p>
    <w:p w:rsidR="00D25053" w:rsidRDefault="00D25053" w:rsidP="006D3876">
      <w:pPr>
        <w:jc w:val="center"/>
      </w:pPr>
    </w:p>
    <w:tbl>
      <w:tblPr>
        <w:tblW w:w="0" w:type="auto"/>
        <w:tblLook w:val="04A0"/>
      </w:tblPr>
      <w:tblGrid>
        <w:gridCol w:w="3560"/>
        <w:gridCol w:w="3561"/>
        <w:gridCol w:w="3561"/>
      </w:tblGrid>
      <w:tr w:rsidR="0028300F" w:rsidRPr="00743C2F" w:rsidTr="00B35612">
        <w:tc>
          <w:tcPr>
            <w:tcW w:w="3560" w:type="dxa"/>
          </w:tcPr>
          <w:p w:rsidR="00087794" w:rsidRDefault="00D25053" w:rsidP="00D2505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</w:t>
            </w:r>
            <w:r w:rsidR="0028300F" w:rsidRPr="006D3876">
              <w:rPr>
                <w:sz w:val="24"/>
              </w:rPr>
              <w:t>Ο ΠΡΟΕΔΡΟΣ</w:t>
            </w:r>
          </w:p>
          <w:p w:rsidR="00087794" w:rsidRDefault="00087794" w:rsidP="00087794">
            <w:pPr>
              <w:rPr>
                <w:sz w:val="24"/>
                <w:lang w:val="en-US"/>
              </w:rPr>
            </w:pPr>
          </w:p>
          <w:p w:rsidR="0028300F" w:rsidRPr="00087794" w:rsidRDefault="00087794" w:rsidP="00087794">
            <w:pPr>
              <w:rPr>
                <w:sz w:val="24"/>
              </w:rPr>
            </w:pPr>
            <w:r>
              <w:rPr>
                <w:sz w:val="24"/>
              </w:rPr>
              <w:t>ΑΠΟΣΤΟΛΟΣ ΠΕΤΙΜΕΖΑΣ</w:t>
            </w:r>
          </w:p>
        </w:tc>
        <w:tc>
          <w:tcPr>
            <w:tcW w:w="3561" w:type="dxa"/>
          </w:tcPr>
          <w:p w:rsidR="0028300F" w:rsidRPr="005669C2" w:rsidRDefault="0028300F" w:rsidP="00087794">
            <w:pPr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  <w:lang w:eastAsia="el-GR"/>
              </w:rPr>
              <w:drawing>
                <wp:inline distT="0" distB="0" distL="0" distR="0">
                  <wp:extent cx="942340" cy="906904"/>
                  <wp:effectExtent l="19050" t="0" r="0" b="0"/>
                  <wp:docPr id="4" name="Εικόνα 2" descr="ΣΦΡΑΓΙΔΑ 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ΦΡΑΓΙΔΑ 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44" cy="906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087794" w:rsidRPr="00087794" w:rsidRDefault="00D25053" w:rsidP="00D2505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28300F" w:rsidRPr="009F2F1A">
              <w:rPr>
                <w:sz w:val="24"/>
              </w:rPr>
              <w:t>Ο ΓΕΝ. ΓΡΑΜΜΑΤΕΑΣ</w:t>
            </w:r>
          </w:p>
          <w:p w:rsidR="00087794" w:rsidRPr="00087794" w:rsidRDefault="00087794" w:rsidP="00087794">
            <w:pPr>
              <w:rPr>
                <w:sz w:val="24"/>
              </w:rPr>
            </w:pPr>
          </w:p>
          <w:p w:rsidR="0028300F" w:rsidRPr="00087794" w:rsidRDefault="00087794" w:rsidP="00087794">
            <w:pPr>
              <w:rPr>
                <w:sz w:val="24"/>
              </w:rPr>
            </w:pPr>
            <w:r>
              <w:rPr>
                <w:sz w:val="24"/>
              </w:rPr>
              <w:t xml:space="preserve">      ΚΩΝ/ΝΟΣ ΚΥΡΑΤΣΟΣ                     </w:t>
            </w:r>
          </w:p>
        </w:tc>
      </w:tr>
      <w:tr w:rsidR="0028300F" w:rsidRPr="00743C2F" w:rsidTr="00B35612">
        <w:tc>
          <w:tcPr>
            <w:tcW w:w="3560" w:type="dxa"/>
          </w:tcPr>
          <w:p w:rsidR="0028300F" w:rsidRPr="00087794" w:rsidRDefault="0028300F" w:rsidP="005669C2">
            <w:pPr>
              <w:rPr>
                <w:sz w:val="24"/>
              </w:rPr>
            </w:pPr>
          </w:p>
        </w:tc>
        <w:tc>
          <w:tcPr>
            <w:tcW w:w="3561" w:type="dxa"/>
          </w:tcPr>
          <w:p w:rsidR="0028300F" w:rsidRPr="00F73FE9" w:rsidRDefault="0028300F" w:rsidP="00B35612">
            <w:pPr>
              <w:rPr>
                <w:b/>
                <w:sz w:val="24"/>
              </w:rPr>
            </w:pPr>
          </w:p>
        </w:tc>
        <w:tc>
          <w:tcPr>
            <w:tcW w:w="3561" w:type="dxa"/>
          </w:tcPr>
          <w:p w:rsidR="0028300F" w:rsidRPr="00087794" w:rsidRDefault="0028300F" w:rsidP="00087794">
            <w:pPr>
              <w:rPr>
                <w:sz w:val="24"/>
              </w:rPr>
            </w:pPr>
          </w:p>
        </w:tc>
      </w:tr>
    </w:tbl>
    <w:p w:rsidR="00A04781" w:rsidRPr="0028300F" w:rsidRDefault="00A04781" w:rsidP="0028300F"/>
    <w:sectPr w:rsidR="00A04781" w:rsidRPr="0028300F" w:rsidSect="00D25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3432"/>
    <w:rsid w:val="00022743"/>
    <w:rsid w:val="0003497E"/>
    <w:rsid w:val="00056C90"/>
    <w:rsid w:val="00056EBD"/>
    <w:rsid w:val="00087794"/>
    <w:rsid w:val="0019034A"/>
    <w:rsid w:val="001C02DE"/>
    <w:rsid w:val="001C5455"/>
    <w:rsid w:val="00282DA7"/>
    <w:rsid w:val="0028300F"/>
    <w:rsid w:val="002A0A21"/>
    <w:rsid w:val="002E645C"/>
    <w:rsid w:val="003359DC"/>
    <w:rsid w:val="0035573A"/>
    <w:rsid w:val="003915A5"/>
    <w:rsid w:val="003972F1"/>
    <w:rsid w:val="003C2B45"/>
    <w:rsid w:val="003C3384"/>
    <w:rsid w:val="003D73AB"/>
    <w:rsid w:val="003E3AE1"/>
    <w:rsid w:val="003F4DEE"/>
    <w:rsid w:val="0046511C"/>
    <w:rsid w:val="0048009A"/>
    <w:rsid w:val="004E6243"/>
    <w:rsid w:val="00531743"/>
    <w:rsid w:val="00550C6E"/>
    <w:rsid w:val="00560A24"/>
    <w:rsid w:val="005650BB"/>
    <w:rsid w:val="005669C2"/>
    <w:rsid w:val="00584E49"/>
    <w:rsid w:val="00617A59"/>
    <w:rsid w:val="006D3432"/>
    <w:rsid w:val="006D3876"/>
    <w:rsid w:val="00746961"/>
    <w:rsid w:val="007C44F7"/>
    <w:rsid w:val="007E0D92"/>
    <w:rsid w:val="00801DB7"/>
    <w:rsid w:val="008319DC"/>
    <w:rsid w:val="008629DD"/>
    <w:rsid w:val="0090636A"/>
    <w:rsid w:val="009079B2"/>
    <w:rsid w:val="009611F8"/>
    <w:rsid w:val="00973EDA"/>
    <w:rsid w:val="00977CCB"/>
    <w:rsid w:val="009A53DA"/>
    <w:rsid w:val="009D329A"/>
    <w:rsid w:val="009F2F1A"/>
    <w:rsid w:val="009F588D"/>
    <w:rsid w:val="00A04781"/>
    <w:rsid w:val="00A1545C"/>
    <w:rsid w:val="00A47504"/>
    <w:rsid w:val="00AE23FB"/>
    <w:rsid w:val="00B143FD"/>
    <w:rsid w:val="00B35612"/>
    <w:rsid w:val="00B83042"/>
    <w:rsid w:val="00B91596"/>
    <w:rsid w:val="00B9343E"/>
    <w:rsid w:val="00CB080C"/>
    <w:rsid w:val="00D04032"/>
    <w:rsid w:val="00D1449F"/>
    <w:rsid w:val="00D25053"/>
    <w:rsid w:val="00D46450"/>
    <w:rsid w:val="00D50B69"/>
    <w:rsid w:val="00D71973"/>
    <w:rsid w:val="00DB064B"/>
    <w:rsid w:val="00E153C9"/>
    <w:rsid w:val="00EA08AC"/>
    <w:rsid w:val="00EE6EB1"/>
    <w:rsid w:val="00F170E1"/>
    <w:rsid w:val="00F73FE9"/>
    <w:rsid w:val="00F9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2014-10-21T19:58:00Z</cp:lastPrinted>
  <dcterms:created xsi:type="dcterms:W3CDTF">2014-09-25T12:01:00Z</dcterms:created>
  <dcterms:modified xsi:type="dcterms:W3CDTF">2014-11-23T12:43:00Z</dcterms:modified>
</cp:coreProperties>
</file>